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A3ACF">
      <w:pPr>
        <w:jc w:val="center"/>
        <w:rPr>
          <w:b/>
          <w:color w:val="17365D"/>
          <w:sz w:val="32"/>
          <w:lang w:eastAsia="zh-CN"/>
        </w:rPr>
      </w:pPr>
      <w:r>
        <w:rPr>
          <w:rFonts w:hint="eastAsia" w:ascii="微软雅黑" w:hAnsi="微软雅黑" w:eastAsia="微软雅黑" w:cs="微软雅黑"/>
          <w:b/>
          <w:color w:val="262626" w:themeColor="text1" w:themeTint="D9"/>
          <w:sz w:val="32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申请企业</w:t>
      </w:r>
      <w:r>
        <w:rPr>
          <w:rFonts w:hint="eastAsia" w:ascii="微软雅黑" w:hAnsi="微软雅黑" w:eastAsia="微软雅黑" w:cs="微软雅黑"/>
          <w:b/>
          <w:color w:val="262626" w:themeColor="text1" w:themeTint="D9"/>
          <w:sz w:val="32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长期合规关键节点复核</w:t>
      </w:r>
    </w:p>
    <w:p w14:paraId="54539C8B">
      <w:pPr>
        <w:jc w:val="center"/>
        <w:rPr>
          <w:b/>
          <w:color w:val="17365D"/>
          <w:sz w:val="32"/>
          <w:lang w:eastAsia="zh-CN"/>
        </w:rPr>
      </w:pPr>
    </w:p>
    <w:tbl>
      <w:tblPr>
        <w:tblStyle w:val="2"/>
        <w:tblW w:w="10182" w:type="dxa"/>
        <w:jc w:val="center"/>
        <w:tblBorders>
          <w:top w:val="single" w:color="7E7E7E" w:themeColor="text1" w:themeTint="80" w:sz="6" w:space="0"/>
          <w:left w:val="single" w:color="7E7E7E" w:themeColor="text1" w:themeTint="80" w:sz="6" w:space="0"/>
          <w:bottom w:val="single" w:color="7E7E7E" w:themeColor="text1" w:themeTint="80" w:sz="6" w:space="0"/>
          <w:right w:val="single" w:color="7E7E7E" w:themeColor="text1" w:themeTint="80" w:sz="6" w:space="0"/>
          <w:insideH w:val="single" w:color="7E7E7E" w:themeColor="text1" w:themeTint="80" w:sz="6" w:space="0"/>
          <w:insideV w:val="single" w:color="7E7E7E" w:themeColor="text1" w:themeTint="80" w:sz="6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552"/>
        <w:gridCol w:w="4188"/>
        <w:gridCol w:w="2486"/>
      </w:tblGrid>
      <w:tr w14:paraId="596148B1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8" w:type="dxa"/>
            <w:gridSpan w:val="2"/>
            <w:shd w:val="clear" w:color="auto" w:fill="FFFFFF" w:themeFill="background1"/>
            <w:tcMar>
              <w:top w:w="95" w:type="dxa"/>
              <w:left w:w="105" w:type="dxa"/>
              <w:bottom w:w="95" w:type="dxa"/>
              <w:right w:w="105" w:type="dxa"/>
            </w:tcMar>
          </w:tcPr>
          <w:p w14:paraId="3982EC56"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当前项目阶段</w:t>
            </w:r>
          </w:p>
        </w:tc>
        <w:tc>
          <w:tcPr>
            <w:tcW w:w="6674" w:type="dxa"/>
            <w:gridSpan w:val="2"/>
            <w:shd w:val="clear" w:color="auto" w:fill="FFFFFF" w:themeFill="background1"/>
            <w:tcMar>
              <w:top w:w="95" w:type="dxa"/>
              <w:left w:w="105" w:type="dxa"/>
              <w:bottom w:w="95" w:type="dxa"/>
              <w:right w:w="105" w:type="dxa"/>
            </w:tcMar>
          </w:tcPr>
          <w:p w14:paraId="0A727BF7">
            <w:pPr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已完成公司设立 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已取得BOI 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已进入投产/运营</w:t>
            </w:r>
          </w:p>
        </w:tc>
      </w:tr>
      <w:tr w14:paraId="00F0CF75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418CA5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552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0F2F1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关键节点</w:t>
            </w:r>
          </w:p>
        </w:tc>
        <w:tc>
          <w:tcPr>
            <w:tcW w:w="4188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1B3341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重点核对内容</w:t>
            </w:r>
          </w:p>
        </w:tc>
        <w:tc>
          <w:tcPr>
            <w:tcW w:w="248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2901FF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当前状态</w:t>
            </w:r>
          </w:p>
        </w:tc>
      </w:tr>
      <w:tr w14:paraId="6C6956BC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DBAA7E2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52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8A9E427">
            <w:pPr>
              <w:rPr>
                <w:rFonts w:hint="eastAsia" w:ascii="微软雅黑" w:hAnsi="微软雅黑" w:eastAsia="微软雅黑" w:cs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BOI状态与持续义务</w:t>
            </w:r>
          </w:p>
        </w:tc>
        <w:tc>
          <w:tcPr>
            <w:tcW w:w="4188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C698D48">
            <w:pPr>
              <w:spacing w:line="288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BOI批准条件、项目变更、后续报告及优惠使用是否有人持续管理。</w:t>
            </w:r>
          </w:p>
        </w:tc>
        <w:tc>
          <w:tcPr>
            <w:tcW w:w="248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87DB7D9">
            <w:pPr>
              <w:spacing w:line="312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已安排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待确认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不确定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不适用</w:t>
            </w:r>
          </w:p>
        </w:tc>
      </w:tr>
      <w:tr w14:paraId="1A1ED294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D99B37B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1575E68">
            <w:pPr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跨境付款与税务</w:t>
            </w:r>
          </w:p>
        </w:tc>
        <w:tc>
          <w:tcPr>
            <w:tcW w:w="4188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A6857FF">
            <w:pPr>
              <w:spacing w:line="288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向中国总部支付服务费、技术费等时，相关税务与申报是否已提前复核。</w:t>
            </w:r>
          </w:p>
        </w:tc>
        <w:tc>
          <w:tcPr>
            <w:tcW w:w="248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CE58369">
            <w:pPr>
              <w:spacing w:line="312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已安排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待确认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不确定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不适用</w:t>
            </w:r>
          </w:p>
        </w:tc>
      </w:tr>
      <w:tr w14:paraId="58187134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6B029A1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52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579EA04">
            <w:pPr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泰国账务与总部报表</w:t>
            </w:r>
          </w:p>
        </w:tc>
        <w:tc>
          <w:tcPr>
            <w:tcW w:w="4188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F081F76">
            <w:pPr>
              <w:spacing w:line="288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泰国账套、科目和管理报表是否能与中国总部口径顺畅衔接。</w:t>
            </w:r>
          </w:p>
        </w:tc>
        <w:tc>
          <w:tcPr>
            <w:tcW w:w="248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78BEF9D">
            <w:pPr>
              <w:spacing w:line="312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已安排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待确认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不确定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不适用</w:t>
            </w:r>
          </w:p>
        </w:tc>
      </w:tr>
      <w:tr w14:paraId="26790A21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2ADC541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52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1847CE5">
            <w:pPr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年度审计与法定义务</w:t>
            </w:r>
          </w:p>
        </w:tc>
        <w:tc>
          <w:tcPr>
            <w:tcW w:w="4188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D538AD5">
            <w:pPr>
              <w:spacing w:line="288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年度审计、AGM、DBD年报等是否已经排入固定年度时间表。</w:t>
            </w:r>
          </w:p>
        </w:tc>
        <w:tc>
          <w:tcPr>
            <w:tcW w:w="248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268727C">
            <w:pPr>
              <w:spacing w:line="312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已安排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待确认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不确定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不适用</w:t>
            </w:r>
          </w:p>
        </w:tc>
      </w:tr>
      <w:tr w14:paraId="33BB3CE9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4F38126">
            <w:pPr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52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1367C85">
            <w:pPr>
              <w:rPr>
                <w:rFonts w:hint="eastAsia"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外籍员工与用工条件</w:t>
            </w:r>
          </w:p>
        </w:tc>
        <w:tc>
          <w:tcPr>
            <w:tcW w:w="4188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6B5383E">
            <w:pPr>
              <w:spacing w:line="288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外籍员工配置、工签及企业相关条件是否已做前置安排。</w:t>
            </w:r>
          </w:p>
        </w:tc>
        <w:tc>
          <w:tcPr>
            <w:tcW w:w="2486" w:type="dxa"/>
            <w:shd w:val="clear" w:color="auto" w:fill="FFFFFF" w:themeFill="background1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2A0F9D8">
            <w:pPr>
              <w:spacing w:line="312" w:lineRule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已安排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待确认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不确定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不适用</w:t>
            </w:r>
          </w:p>
        </w:tc>
      </w:tr>
      <w:tr w14:paraId="2F84741F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82" w:type="dxa"/>
            <w:gridSpan w:val="4"/>
            <w:shd w:val="clear" w:color="auto" w:fill="FFFFFF" w:themeFill="background1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BDFF486">
            <w:pPr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lang w:eastAsia="zh-CN"/>
              </w:rPr>
              <w:t>【申请长期合规关键节点复核】</w:t>
            </w:r>
          </w:p>
          <w:p w14:paraId="3C144A32">
            <w:pPr>
              <w:spacing w:before="40" w:after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1"/>
                <w:lang w:eastAsia="zh-CN"/>
              </w:rPr>
              <w:t>中鑫将优先围绕您勾选的“待确认 / 不确定”节点进行沟通，不重复收集复杂资料。</w:t>
            </w:r>
          </w:p>
        </w:tc>
      </w:tr>
      <w:tr w14:paraId="22A44FFA"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8" w:type="dxa"/>
            <w:gridSpan w:val="2"/>
            <w:shd w:val="clear" w:color="auto" w:fill="FFFFFF" w:themeFill="background1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401FCBF"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</w:rPr>
              <w:t>仅需留下联系方式</w:t>
            </w:r>
          </w:p>
        </w:tc>
        <w:tc>
          <w:tcPr>
            <w:tcW w:w="6674" w:type="dxa"/>
            <w:gridSpan w:val="2"/>
            <w:shd w:val="clear" w:color="auto" w:fill="FFFFFF" w:themeFill="background1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DC7C47C"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联系人：__________    手机/微信：__________________</w:t>
            </w:r>
          </w:p>
        </w:tc>
      </w:tr>
    </w:tbl>
    <w:p w14:paraId="3D8E745E">
      <w:pPr>
        <w:jc w:val="center"/>
        <w:rPr>
          <w:b/>
          <w:color w:val="17365D"/>
          <w:sz w:val="32"/>
          <w:lang w:eastAsia="zh-CN"/>
        </w:rPr>
      </w:pPr>
    </w:p>
    <w:sectPr>
      <w:pgSz w:w="11906" w:h="16838"/>
      <w:pgMar w:top="850" w:right="850" w:bottom="85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F5CF5"/>
    <w:rsid w:val="796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2026-09-16T07:32:00Z</dcterms:created>
  <dc:creator>小石头</dc:creator>
  <cp:lastModifiedBy>小石头</cp:lastModifiedBy>
  <dcterms:modified xsi:type="dcterms:W3CDTF">2026-09-16T07:37:50Z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CE86F02334D3416C8AFAE920CD787518_11</vt:lpwstr>
  </property>
  <property fmtid="{D5CDD505-2E9C-101B-9397-08002B2CF9AE}" pid="4" name="KSOTemplateDocerSaveRecord">
    <vt:lpwstr>eyJoZGlkIjoiOGViNWVmNzUyMTIyNmRhZTc2NmMxYzdlYWM5ODcwNDYiLCJ1c2VySWQiOiI2Mjk4OTY0MDMifQ==</vt:lpwstr>
  </property>
</Properties>
</file>